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采集2.0时钟合格率查询治理路径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电能表时钟合格率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查询路径：</w:t>
      </w:r>
      <w:r>
        <w:rPr>
          <w:rFonts w:hint="default"/>
          <w:sz w:val="32"/>
          <w:szCs w:val="32"/>
          <w:lang w:val="en-US" w:eastAsia="zh-CN"/>
        </w:rPr>
        <w:t>基本应用/时钟管理/电能表时钟合格率</w:t>
      </w:r>
    </w:p>
    <w:p>
      <w:r>
        <w:drawing>
          <wp:inline distT="0" distB="0" distL="114300" distR="114300">
            <wp:extent cx="5257800" cy="17849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时钟异常电能表通过“</w:t>
      </w:r>
      <w:r>
        <w:rPr>
          <w:rFonts w:hint="eastAsia"/>
          <w:color w:val="0000FF"/>
          <w:sz w:val="32"/>
          <w:szCs w:val="32"/>
          <w:lang w:val="en-US" w:eastAsia="zh-CN"/>
        </w:rPr>
        <w:t>召测失败数</w:t>
      </w:r>
      <w:r>
        <w:rPr>
          <w:rFonts w:hint="eastAsia"/>
          <w:sz w:val="32"/>
          <w:szCs w:val="32"/>
          <w:lang w:val="en-US" w:eastAsia="zh-CN"/>
        </w:rPr>
        <w:t>”、“</w:t>
      </w:r>
      <w:r>
        <w:rPr>
          <w:rFonts w:hint="eastAsia"/>
          <w:color w:val="0000FF"/>
          <w:sz w:val="32"/>
          <w:szCs w:val="32"/>
          <w:lang w:val="en-US" w:eastAsia="zh-CN"/>
        </w:rPr>
        <w:t>时钟超差数</w:t>
      </w:r>
      <w:r>
        <w:rPr>
          <w:rFonts w:hint="eastAsia"/>
          <w:sz w:val="32"/>
          <w:szCs w:val="32"/>
          <w:lang w:val="en-US" w:eastAsia="zh-CN"/>
        </w:rPr>
        <w:t>”超链接查询，如下图(超链接功能开发中)：</w:t>
      </w:r>
    </w:p>
    <w:p/>
    <w:p>
      <w:r>
        <w:drawing>
          <wp:inline distT="0" distB="0" distL="114300" distR="114300">
            <wp:extent cx="5270500" cy="2066925"/>
            <wp:effectExtent l="0" t="0" r="63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需指令异常明细暂时通过</w:t>
      </w:r>
      <w:r>
        <w:rPr>
          <w:rFonts w:hint="default"/>
          <w:color w:val="0000FF"/>
          <w:sz w:val="32"/>
          <w:szCs w:val="32"/>
          <w:lang w:val="en-US" w:eastAsia="zh-CN"/>
        </w:rPr>
        <w:t>电能表时钟异常明细</w:t>
      </w:r>
      <w:r>
        <w:rPr>
          <w:rFonts w:hint="eastAsia"/>
          <w:color w:val="0000FF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选择异常类型：</w:t>
      </w:r>
      <w:r>
        <w:rPr>
          <w:rFonts w:hint="eastAsia"/>
          <w:b/>
          <w:bCs/>
          <w:sz w:val="32"/>
          <w:szCs w:val="32"/>
          <w:lang w:val="en-US" w:eastAsia="zh-CN"/>
        </w:rPr>
        <w:t>校时失败</w:t>
      </w:r>
      <w:r>
        <w:rPr>
          <w:rFonts w:hint="eastAsia"/>
          <w:sz w:val="32"/>
          <w:szCs w:val="32"/>
          <w:lang w:val="en-US" w:eastAsia="zh-CN"/>
        </w:rPr>
        <w:t>，时钟状态：</w:t>
      </w:r>
      <w:r>
        <w:rPr>
          <w:rFonts w:hint="eastAsia"/>
          <w:b/>
          <w:bCs/>
          <w:sz w:val="32"/>
          <w:szCs w:val="32"/>
          <w:lang w:val="en-US" w:eastAsia="zh-CN"/>
        </w:rPr>
        <w:t>异常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[</w:t>
      </w:r>
      <w:r>
        <w:rPr>
          <w:rFonts w:hint="eastAsia"/>
          <w:color w:val="0000FF"/>
          <w:sz w:val="32"/>
          <w:szCs w:val="32"/>
          <w:lang w:val="en-US" w:eastAsia="zh-CN"/>
        </w:rPr>
        <w:t>异常类型：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召测失败]，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查询待治理明细，通过</w:t>
      </w:r>
      <w:r>
        <w:rPr>
          <w:rFonts w:hint="default"/>
          <w:color w:val="0000FF"/>
          <w:sz w:val="32"/>
          <w:szCs w:val="32"/>
          <w:lang w:val="en-US" w:eastAsia="zh-CN"/>
        </w:rPr>
        <w:t>电能表时钟异常明细</w:t>
      </w:r>
      <w:r>
        <w:rPr>
          <w:rFonts w:hint="eastAsia"/>
          <w:sz w:val="32"/>
          <w:szCs w:val="32"/>
          <w:lang w:val="en-US" w:eastAsia="zh-CN"/>
        </w:rPr>
        <w:t>界面推送至闭环平台开展现场对时，也可以通过</w:t>
      </w:r>
      <w:r>
        <w:rPr>
          <w:rFonts w:hint="default"/>
          <w:sz w:val="32"/>
          <w:szCs w:val="32"/>
          <w:lang w:val="en-US" w:eastAsia="zh-CN"/>
        </w:rPr>
        <w:t>基本应用/时钟管理/最新状态</w:t>
      </w:r>
      <w:r>
        <w:rPr>
          <w:rFonts w:hint="eastAsia"/>
          <w:sz w:val="32"/>
          <w:szCs w:val="32"/>
          <w:lang w:val="en-US" w:eastAsia="zh-CN"/>
        </w:rPr>
        <w:t>（电能表）功能开展远程时钟召测、时钟校时（点对点）。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时钟异常明细也可以通过查询</w:t>
      </w:r>
      <w:r>
        <w:rPr>
          <w:rFonts w:hint="eastAsia"/>
          <w:color w:val="0000FF"/>
          <w:sz w:val="32"/>
          <w:szCs w:val="32"/>
          <w:lang w:val="en-US" w:eastAsia="zh-CN"/>
        </w:rPr>
        <w:t>是否超差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/>
          <w:b/>
          <w:bCs/>
          <w:sz w:val="32"/>
          <w:szCs w:val="32"/>
          <w:lang w:val="en-US" w:eastAsia="zh-CN"/>
        </w:rPr>
        <w:t>是，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进行时钟召测、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点对点对时</w:t>
      </w:r>
      <w:r>
        <w:rPr>
          <w:rFonts w:hint="eastAsia"/>
          <w:b w:val="0"/>
          <w:bCs w:val="0"/>
          <w:color w:val="0000FF"/>
          <w:sz w:val="32"/>
          <w:szCs w:val="32"/>
          <w:lang w:val="en-US" w:eastAsia="zh-CN"/>
        </w:rPr>
        <w:t>[校时失败的电能表可尝试通过采集1.0-采集业务-时钟管理-电表对时-电能表明细开展远程校时，校时成功通过采集2.0进行时钟召测，无法远程校时的需开展现场掌机校时]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。</w:t>
      </w:r>
    </w:p>
    <w:p/>
    <w:p>
      <w:r>
        <w:drawing>
          <wp:inline distT="0" distB="0" distL="114300" distR="114300">
            <wp:extent cx="5273040" cy="22479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终端时钟合格率</w:t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查询路径：</w:t>
      </w:r>
      <w:r>
        <w:rPr>
          <w:rFonts w:hint="default"/>
          <w:sz w:val="32"/>
          <w:szCs w:val="32"/>
          <w:lang w:val="en-US" w:eastAsia="zh-CN"/>
        </w:rPr>
        <w:t>基本应用/时钟管理/</w:t>
      </w:r>
      <w:r>
        <w:rPr>
          <w:rFonts w:hint="eastAsia"/>
          <w:sz w:val="32"/>
          <w:szCs w:val="32"/>
          <w:lang w:val="en-US" w:eastAsia="zh-CN"/>
        </w:rPr>
        <w:t>终端</w:t>
      </w:r>
      <w:r>
        <w:rPr>
          <w:rFonts w:hint="default"/>
          <w:sz w:val="32"/>
          <w:szCs w:val="32"/>
          <w:lang w:val="en-US" w:eastAsia="zh-CN"/>
        </w:rPr>
        <w:t>时钟合格率</w:t>
      </w:r>
    </w:p>
    <w:p/>
    <w:p>
      <w:r>
        <w:drawing>
          <wp:inline distT="0" distB="0" distL="114300" distR="114300">
            <wp:extent cx="5263515" cy="1958975"/>
            <wp:effectExtent l="0" t="0" r="133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时钟异常终端通过“</w:t>
      </w:r>
      <w:r>
        <w:rPr>
          <w:rFonts w:hint="eastAsia"/>
          <w:color w:val="0000FF"/>
          <w:sz w:val="32"/>
          <w:szCs w:val="32"/>
          <w:lang w:val="en-US" w:eastAsia="zh-CN"/>
        </w:rPr>
        <w:t>召测失败数</w:t>
      </w:r>
      <w:r>
        <w:rPr>
          <w:rFonts w:hint="eastAsia"/>
          <w:sz w:val="32"/>
          <w:szCs w:val="32"/>
          <w:lang w:val="en-US" w:eastAsia="zh-CN"/>
        </w:rPr>
        <w:t>”、“</w:t>
      </w:r>
      <w:r>
        <w:rPr>
          <w:rFonts w:hint="eastAsia"/>
          <w:color w:val="0000FF"/>
          <w:sz w:val="32"/>
          <w:szCs w:val="32"/>
          <w:lang w:val="en-US" w:eastAsia="zh-CN"/>
        </w:rPr>
        <w:t>时钟超差数</w:t>
      </w:r>
      <w:r>
        <w:rPr>
          <w:rFonts w:hint="eastAsia"/>
          <w:sz w:val="32"/>
          <w:szCs w:val="32"/>
          <w:lang w:val="en-US" w:eastAsia="zh-CN"/>
        </w:rPr>
        <w:t>”超链接查询，如下图(超链接功能开发中)：</w:t>
      </w:r>
    </w:p>
    <w:p/>
    <w:p>
      <w:r>
        <w:drawing>
          <wp:inline distT="0" distB="0" distL="114300" distR="114300">
            <wp:extent cx="5257800" cy="180276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时钟异常终端通过</w:t>
      </w:r>
      <w:r>
        <w:rPr>
          <w:rFonts w:hint="default"/>
          <w:sz w:val="32"/>
          <w:szCs w:val="32"/>
          <w:lang w:val="en-US" w:eastAsia="zh-CN"/>
        </w:rPr>
        <w:t>基本应用/时钟管理/最新状态</w:t>
      </w:r>
      <w:r>
        <w:rPr>
          <w:rFonts w:hint="eastAsia"/>
          <w:sz w:val="32"/>
          <w:szCs w:val="32"/>
          <w:lang w:val="en-US" w:eastAsia="zh-CN"/>
        </w:rPr>
        <w:t>（终端）功能开展远程时钟召测、时钟校时（校时）</w:t>
      </w:r>
    </w:p>
    <w:p/>
    <w:p>
      <w:r>
        <w:drawing>
          <wp:inline distT="0" distB="0" distL="114300" distR="114300">
            <wp:extent cx="5266690" cy="2176145"/>
            <wp:effectExtent l="0" t="0" r="1016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6B60D"/>
    <w:multiLevelType w:val="singleLevel"/>
    <w:tmpl w:val="07C6B6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1E1C"/>
    <w:rsid w:val="27F70E60"/>
    <w:rsid w:val="2DC37C48"/>
    <w:rsid w:val="512C5B6F"/>
    <w:rsid w:val="6D82570C"/>
    <w:rsid w:val="77B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电能采集项目组</cp:lastModifiedBy>
  <dcterms:modified xsi:type="dcterms:W3CDTF">2024-02-22T01:50:42Z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DC80F547AA084486BE738B083F98C542</vt:lpwstr>
  </property>
</Properties>
</file>